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667A4" w14:textId="77777777" w:rsidR="00A7680B" w:rsidRPr="00A7680B" w:rsidRDefault="00A7680B" w:rsidP="00A7680B">
      <w:pPr>
        <w:jc w:val="center"/>
        <w:rPr>
          <w:rFonts w:ascii="Zeist VF" w:hAnsi="Zeist VF" w:cs="ZeistVF-RegularN1"/>
          <w:b/>
          <w:color w:val="000000"/>
          <w:sz w:val="32"/>
          <w:szCs w:val="32"/>
          <w:lang w:val="fr-FR" w:eastAsia="en-US"/>
        </w:rPr>
      </w:pPr>
      <w:proofErr w:type="spellStart"/>
      <w:r w:rsidRPr="00A7680B">
        <w:rPr>
          <w:rFonts w:ascii="Zeist VF" w:hAnsi="Zeist VF" w:cs="ZeistVF-RegularN1"/>
          <w:b/>
          <w:color w:val="000000"/>
          <w:sz w:val="32"/>
          <w:szCs w:val="32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b/>
          <w:color w:val="000000"/>
          <w:sz w:val="32"/>
          <w:szCs w:val="32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b/>
          <w:color w:val="000000"/>
          <w:sz w:val="32"/>
          <w:szCs w:val="32"/>
          <w:lang w:val="fr-FR" w:eastAsia="en-US"/>
        </w:rPr>
        <w:t>policy</w:t>
      </w:r>
      <w:proofErr w:type="spellEnd"/>
    </w:p>
    <w:p w14:paraId="1C12DF2A" w14:textId="77777777" w:rsidR="00A7680B" w:rsidRPr="00A7680B" w:rsidRDefault="00A7680B" w:rsidP="00A7680B">
      <w:pPr>
        <w:jc w:val="center"/>
        <w:rPr>
          <w:rFonts w:ascii="Zeist VF" w:hAnsi="Zeist VF" w:cs="ZeistVF-RegularN1"/>
          <w:bCs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bCs/>
          <w:color w:val="000000"/>
          <w:sz w:val="18"/>
          <w:szCs w:val="18"/>
          <w:lang w:val="fr-FR" w:eastAsia="en-US"/>
        </w:rPr>
        <w:t xml:space="preserve">Last </w:t>
      </w:r>
      <w:proofErr w:type="spellStart"/>
      <w:r w:rsidRPr="00A7680B">
        <w:rPr>
          <w:rFonts w:ascii="Zeist VF" w:hAnsi="Zeist VF" w:cs="ZeistVF-RegularN1"/>
          <w:bCs/>
          <w:color w:val="000000"/>
          <w:sz w:val="18"/>
          <w:szCs w:val="18"/>
          <w:lang w:val="fr-FR" w:eastAsia="en-US"/>
        </w:rPr>
        <w:t>modified</w:t>
      </w:r>
      <w:proofErr w:type="spellEnd"/>
      <w:r w:rsidRPr="00A7680B">
        <w:rPr>
          <w:rFonts w:ascii="Zeist VF" w:hAnsi="Zeist VF" w:cs="ZeistVF-RegularN1"/>
          <w:bCs/>
          <w:color w:val="000000"/>
          <w:sz w:val="18"/>
          <w:szCs w:val="18"/>
          <w:lang w:val="fr-FR" w:eastAsia="en-US"/>
        </w:rPr>
        <w:t xml:space="preserve"> on 27/11/2024</w:t>
      </w:r>
    </w:p>
    <w:p w14:paraId="4B5CD38A" w14:textId="25CB357C" w:rsidR="00A7680B" w:rsidRPr="00A7680B" w:rsidRDefault="00A7680B" w:rsidP="00A7680B">
      <w:pPr>
        <w:jc w:val="both"/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</w:pPr>
    </w:p>
    <w:p w14:paraId="432C43BA" w14:textId="77777777" w:rsidR="00A7680B" w:rsidRPr="00A7680B" w:rsidRDefault="00A7680B" w:rsidP="00A7680B">
      <w:pPr>
        <w:numPr>
          <w:ilvl w:val="0"/>
          <w:numId w:val="4"/>
        </w:numPr>
        <w:jc w:val="both"/>
        <w:rPr>
          <w:rFonts w:ascii="Zeist VF" w:hAnsi="Zeist VF" w:cs="ZeistVF-RegularN1"/>
          <w:b/>
          <w:color w:val="000000"/>
          <w:sz w:val="18"/>
          <w:szCs w:val="18"/>
          <w:lang w:eastAsia="en-US"/>
        </w:rPr>
      </w:pPr>
      <w:r w:rsidRPr="00A7680B">
        <w:rPr>
          <w:rFonts w:ascii="Zeist VF" w:hAnsi="Zeist VF" w:cs="ZeistVF-RegularN1"/>
          <w:b/>
          <w:color w:val="000000"/>
          <w:sz w:val="18"/>
          <w:szCs w:val="18"/>
          <w:lang w:eastAsia="en-US"/>
        </w:rPr>
        <w:t>Objective</w:t>
      </w:r>
    </w:p>
    <w:p w14:paraId="142F144F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6D2AD717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policy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Lazard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Elaia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Capital (“LEC”)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aims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promote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sound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 effective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risk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management and to encourage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both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individual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excellence and collective performance. It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does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not encourage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risk-taking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that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would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incompatible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with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risk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profiles,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regulations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or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governing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documents of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directly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managed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funds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1F8A76A2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1DF5E046" w14:textId="77777777" w:rsidR="00A7680B" w:rsidRDefault="00A7680B" w:rsidP="00A7680B">
      <w:pPr>
        <w:numPr>
          <w:ilvl w:val="0"/>
          <w:numId w:val="4"/>
        </w:numPr>
        <w:jc w:val="both"/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</w:pP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Categories</w:t>
      </w:r>
      <w:proofErr w:type="spellEnd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 of Personnel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within</w:t>
      </w:r>
      <w:proofErr w:type="spellEnd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 the Management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Company</w:t>
      </w:r>
      <w:proofErr w:type="spellEnd"/>
    </w:p>
    <w:p w14:paraId="2BA1A3CA" w14:textId="77777777" w:rsidR="00A7680B" w:rsidRPr="00A7680B" w:rsidRDefault="00A7680B" w:rsidP="00A7680B">
      <w:pPr>
        <w:jc w:val="both"/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</w:pPr>
    </w:p>
    <w:p w14:paraId="7CA9927A" w14:textId="7860A1D4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The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composed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several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categories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personnel : “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identified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personnel” and “non-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identified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personnel.”</w:t>
      </w:r>
    </w:p>
    <w:p w14:paraId="1065433E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17D14AD0" w14:textId="77777777" w:rsidR="00A7680B" w:rsidRPr="00A7680B" w:rsidRDefault="00A7680B" w:rsidP="00A7680B">
      <w:pPr>
        <w:numPr>
          <w:ilvl w:val="1"/>
          <w:numId w:val="4"/>
        </w:numPr>
        <w:jc w:val="both"/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Personnel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identified</w:t>
      </w:r>
      <w:proofErr w:type="spellEnd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under</w:t>
      </w:r>
      <w:proofErr w:type="spellEnd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Regulation</w:t>
      </w:r>
      <w:proofErr w:type="spellEnd"/>
    </w:p>
    <w:p w14:paraId="532FC442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Identified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personnel are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those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with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significant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impact on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risk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profile of the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or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managed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Alternative Investment Funds (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AIFs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),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including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notably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:</w:t>
      </w:r>
      <w:proofErr w:type="gramEnd"/>
    </w:p>
    <w:p w14:paraId="6A8908BE" w14:textId="77777777" w:rsidR="00A7680B" w:rsidRPr="00A7680B" w:rsidRDefault="00A7680B" w:rsidP="00A7680B">
      <w:pPr>
        <w:numPr>
          <w:ilvl w:val="0"/>
          <w:numId w:val="7"/>
        </w:num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Executive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officers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;</w:t>
      </w:r>
      <w:proofErr w:type="gramEnd"/>
    </w:p>
    <w:p w14:paraId="26214907" w14:textId="77777777" w:rsidR="00A7680B" w:rsidRPr="00A7680B" w:rsidRDefault="00A7680B" w:rsidP="00A7680B">
      <w:pPr>
        <w:numPr>
          <w:ilvl w:val="0"/>
          <w:numId w:val="7"/>
        </w:num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Non-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executive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directors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or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salaried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employees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;</w:t>
      </w:r>
      <w:proofErr w:type="gramEnd"/>
    </w:p>
    <w:p w14:paraId="65FB4983" w14:textId="67B3BC7A" w:rsidR="00A7680B" w:rsidRPr="00A7680B" w:rsidRDefault="00A7680B" w:rsidP="00A7680B">
      <w:pPr>
        <w:numPr>
          <w:ilvl w:val="0"/>
          <w:numId w:val="7"/>
        </w:num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Financial managers ; and</w:t>
      </w:r>
    </w:p>
    <w:p w14:paraId="74401ABA" w14:textId="77777777" w:rsidR="00A7680B" w:rsidRPr="00A7680B" w:rsidRDefault="00A7680B" w:rsidP="00A7680B">
      <w:pPr>
        <w:numPr>
          <w:ilvl w:val="0"/>
          <w:numId w:val="7"/>
        </w:num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following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staff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members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when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they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have a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significant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impact on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risk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profile of the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or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AIFs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manages</w:t>
      </w:r>
      <w:proofErr w:type="gram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 are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therefore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considered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risk-</w:t>
      </w:r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takers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:</w:t>
      </w:r>
      <w:proofErr w:type="gramEnd"/>
    </w:p>
    <w:p w14:paraId="5A4E403D" w14:textId="77777777" w:rsidR="00A7680B" w:rsidRPr="00A7680B" w:rsidRDefault="00A7680B" w:rsidP="00A7680B">
      <w:pPr>
        <w:numPr>
          <w:ilvl w:val="1"/>
          <w:numId w:val="7"/>
        </w:num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Employees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whose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total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places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them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same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pay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bracket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as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executives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risk-</w:t>
      </w:r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takers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;</w:t>
      </w:r>
      <w:proofErr w:type="gramEnd"/>
    </w:p>
    <w:p w14:paraId="070348F1" w14:textId="77777777" w:rsidR="00A7680B" w:rsidRPr="00A7680B" w:rsidRDefault="00A7680B" w:rsidP="00A7680B">
      <w:pPr>
        <w:numPr>
          <w:ilvl w:val="1"/>
          <w:numId w:val="7"/>
        </w:num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Heads of support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functions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(marketing,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human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resources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legal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finance,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development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, administrative</w:t>
      </w:r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);</w:t>
      </w:r>
      <w:proofErr w:type="gram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</w:t>
      </w:r>
    </w:p>
    <w:p w14:paraId="241204CB" w14:textId="77777777" w:rsidR="00A7680B" w:rsidRPr="00A7680B" w:rsidRDefault="00A7680B" w:rsidP="00A7680B">
      <w:pPr>
        <w:numPr>
          <w:ilvl w:val="1"/>
          <w:numId w:val="7"/>
        </w:num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Heads of control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functions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0FFC2F89" w14:textId="77777777" w:rsid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624E9EE9" w14:textId="7315376C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Control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functions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refer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personnel (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other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than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senior management)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responsible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for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risk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oversight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compliance,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internal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control,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internal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audits, 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similar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roles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within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 portfolio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7D332F33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In accordance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with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ESMA guidance, control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functions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play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role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development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ongoing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monitoring, 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evaluation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policies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for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other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business areas.</w:t>
      </w:r>
    </w:p>
    <w:p w14:paraId="3036FAE7" w14:textId="77777777" w:rsid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2FA6C093" w14:textId="0512759F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risk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function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assesses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as part of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duties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the impact of variable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structures on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risk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profile of the AIF.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level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personnel in control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functions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enables the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hire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qualified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experienced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staff. Variable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based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function-specific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objectives 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not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solely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determined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by performance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criteria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applicable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across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LEC.</w:t>
      </w:r>
    </w:p>
    <w:p w14:paraId="2B36836C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ensures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that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structure for personnel in control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functions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does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not compromise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their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independence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impartiality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or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create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conflicts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interest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655C8CAA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lastRenderedPageBreak/>
        <w:t>Within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some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identified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personnel (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notably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control and support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functions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) are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seconded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by Lazard Frères Banque, Lazard Frères Gestion, or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Elaia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Partners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entities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subject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respectively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regulations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under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Directive (EU) No. 2013/36 (CRD) and Directive (EU) No. 2011/61 (AIFMD).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These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personnel are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subject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regulations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entity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seconding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them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provided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they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are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considered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as effective as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those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applicable to the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which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case for CRD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regulations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2A8D4C12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09AC211D" w14:textId="77777777" w:rsidR="00A7680B" w:rsidRPr="00A7680B" w:rsidRDefault="00A7680B" w:rsidP="00A7680B">
      <w:pPr>
        <w:numPr>
          <w:ilvl w:val="1"/>
          <w:numId w:val="4"/>
        </w:numPr>
        <w:jc w:val="both"/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Non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identified</w:t>
      </w:r>
      <w:proofErr w:type="spellEnd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 Personnel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under</w:t>
      </w:r>
      <w:proofErr w:type="spellEnd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Regulation</w:t>
      </w:r>
      <w:proofErr w:type="spellEnd"/>
    </w:p>
    <w:p w14:paraId="7BAC6D3A" w14:textId="77777777" w:rsid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2B7F0F75" w14:textId="484434DA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Non-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identified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personnel are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those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without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significant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impact on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risk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profile of the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or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managed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AIFs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including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:</w:t>
      </w:r>
      <w:proofErr w:type="gramEnd"/>
    </w:p>
    <w:p w14:paraId="4480BEA4" w14:textId="22D4033B" w:rsidR="00A7680B" w:rsidRPr="00A7680B" w:rsidRDefault="00A7680B" w:rsidP="00A7680B">
      <w:pPr>
        <w:numPr>
          <w:ilvl w:val="0"/>
          <w:numId w:val="8"/>
        </w:num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Management </w:t>
      </w:r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team</w:t>
      </w:r>
      <w:proofErr w:type="gram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members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excluding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managers ; and</w:t>
      </w:r>
    </w:p>
    <w:p w14:paraId="1A1E69D4" w14:textId="77777777" w:rsidR="00A7680B" w:rsidRDefault="00A7680B" w:rsidP="00A7680B">
      <w:pPr>
        <w:numPr>
          <w:ilvl w:val="0"/>
          <w:numId w:val="8"/>
        </w:num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Support </w:t>
      </w:r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team</w:t>
      </w:r>
      <w:proofErr w:type="gram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members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excluding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heads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support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functions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63DCD3D1" w14:textId="77777777" w:rsidR="00A7680B" w:rsidRPr="00A7680B" w:rsidRDefault="00A7680B" w:rsidP="00A7680B">
      <w:pPr>
        <w:ind w:left="720"/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1BCEB219" w14:textId="77777777" w:rsidR="00A7680B" w:rsidRPr="00A7680B" w:rsidRDefault="00A7680B" w:rsidP="00A7680B">
      <w:pPr>
        <w:numPr>
          <w:ilvl w:val="0"/>
          <w:numId w:val="4"/>
        </w:numPr>
        <w:jc w:val="both"/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Components of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 and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Employee</w:t>
      </w:r>
      <w:proofErr w:type="spellEnd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Evaluation</w:t>
      </w:r>
      <w:proofErr w:type="spellEnd"/>
    </w:p>
    <w:p w14:paraId="639338E1" w14:textId="77777777" w:rsidR="00A7680B" w:rsidRPr="00A7680B" w:rsidRDefault="00A7680B" w:rsidP="00A7680B">
      <w:pPr>
        <w:jc w:val="both"/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</w:pPr>
    </w:p>
    <w:p w14:paraId="21F9FABD" w14:textId="77777777" w:rsidR="00A7680B" w:rsidRPr="00A7680B" w:rsidRDefault="00A7680B" w:rsidP="00A7680B">
      <w:pPr>
        <w:numPr>
          <w:ilvl w:val="1"/>
          <w:numId w:val="4"/>
        </w:numPr>
        <w:jc w:val="both"/>
        <w:rPr>
          <w:rFonts w:ascii="Zeist VF" w:hAnsi="Zeist VF" w:cs="ZeistVF-RegularN1"/>
          <w:b/>
          <w:color w:val="000000"/>
          <w:sz w:val="18"/>
          <w:szCs w:val="18"/>
          <w:lang w:eastAsia="en-US"/>
        </w:rPr>
      </w:pPr>
      <w:r w:rsidRPr="00A7680B">
        <w:rPr>
          <w:rFonts w:ascii="Zeist VF" w:hAnsi="Zeist VF" w:cs="ZeistVF-RegularN1"/>
          <w:b/>
          <w:color w:val="000000"/>
          <w:sz w:val="18"/>
          <w:szCs w:val="18"/>
          <w:lang w:eastAsia="en-US"/>
        </w:rPr>
        <w:t>Remuneration Structures</w:t>
      </w:r>
    </w:p>
    <w:p w14:paraId="6727CAB5" w14:textId="77777777" w:rsid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0E14E6D3" w14:textId="29B6DC22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for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personnel </w:t>
      </w:r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comprises:</w:t>
      </w:r>
      <w:proofErr w:type="gramEnd"/>
    </w:p>
    <w:p w14:paraId="52E7EF0A" w14:textId="77777777" w:rsidR="00A7680B" w:rsidRPr="00A7680B" w:rsidRDefault="00A7680B" w:rsidP="00A7680B">
      <w:pPr>
        <w:numPr>
          <w:ilvl w:val="0"/>
          <w:numId w:val="9"/>
        </w:num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A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fixed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component,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professional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services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based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responsibilities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education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level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hierarchical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rank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expertise 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skills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required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difficulty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professional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experience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sector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and </w:t>
      </w:r>
      <w:proofErr w:type="spellStart"/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region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;</w:t>
      </w:r>
      <w:proofErr w:type="gramEnd"/>
    </w:p>
    <w:p w14:paraId="26CA29ED" w14:textId="77777777" w:rsidR="00A7680B" w:rsidRPr="00A7680B" w:rsidRDefault="00A7680B" w:rsidP="00A7680B">
      <w:pPr>
        <w:numPr>
          <w:ilvl w:val="0"/>
          <w:numId w:val="9"/>
        </w:num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A variable component, not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guaranteed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whose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allocation, acquisition, 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payment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depend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on the performance of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employee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their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business unit, and the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. The variable component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takes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form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a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discretionary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bonus.</w:t>
      </w:r>
    </w:p>
    <w:p w14:paraId="05E3E1F2" w14:textId="77777777" w:rsid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34B73407" w14:textId="0D5EB8CA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President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the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determines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ratio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between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fixed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 variable components of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identified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personnel (and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other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personnel)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.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amounts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are set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under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supervision of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Board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Directors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.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President’s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decided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by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Board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Directors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7DC044AD" w14:textId="77777777" w:rsid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7353BC98" w14:textId="125FBC1C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An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appropriate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balance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maintained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between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fixed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 variable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.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fixed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component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represents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sufficiently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high proportion of total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allow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flexibility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 the variable component,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discourage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risk-taking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detrimental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investors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allow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for no variable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payment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necessary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498C50F2" w14:textId="77777777" w:rsid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6E76FB11" w14:textId="6B417758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No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guaranteed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variable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granted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except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possibly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during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hiring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limited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the first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year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658AB1EF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Discretionary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payments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related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early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termination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are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conditional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employee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performance,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assessed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against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Company’s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results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designed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reward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sustainable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performance, not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failure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291A2671" w14:textId="77777777" w:rsid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14D91A48" w14:textId="54179E20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Board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Directors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as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supervisory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body,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responsible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for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adopting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implementing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policy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reviews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regularly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at least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annually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.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Implementation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also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internally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evaluated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annually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by the RCCI to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ensure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compliance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with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adopted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policy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 applicable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regulations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67D20AAE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lastRenderedPageBreak/>
        <w:t xml:space="preserve">Variable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not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paid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through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mechanisms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designed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artificially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circumvent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ESMA guidance or AIFMD provisions.</w:t>
      </w:r>
    </w:p>
    <w:p w14:paraId="7FF09CD5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In accordance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with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Regulation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(EU) 2019/2088 (“Disclosure” or “SFDR”), variable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also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considers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employees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’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involvement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integrating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sustainability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risks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into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investment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strategies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. Investment and control </w:t>
      </w:r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team</w:t>
      </w:r>
      <w:proofErr w:type="gram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employees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are made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aware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need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follow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investment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procedures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incorporating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non-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financial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criteria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4CBD9F99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The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may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also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decide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discretion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not to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pay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bonuses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.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Guaranteed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bonuses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are not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awarded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21A092F7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2832D42A" w14:textId="77777777" w:rsidR="00A7680B" w:rsidRPr="00A7680B" w:rsidRDefault="00A7680B" w:rsidP="00A7680B">
      <w:pPr>
        <w:numPr>
          <w:ilvl w:val="1"/>
          <w:numId w:val="4"/>
        </w:numPr>
        <w:jc w:val="both"/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Performance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Measurements</w:t>
      </w:r>
      <w:proofErr w:type="spellEnd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 and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Employee</w:t>
      </w:r>
      <w:proofErr w:type="spellEnd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Evaluation</w:t>
      </w:r>
      <w:proofErr w:type="spellEnd"/>
    </w:p>
    <w:p w14:paraId="4DC6488F" w14:textId="77777777" w:rsid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41021F35" w14:textId="270A35FF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Performance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measurement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considers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both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quantitative (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financial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) and qualitative (non-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financial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)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criteria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.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Examples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qualitative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criteria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include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achieving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strategic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objectives,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investor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satisfaction,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adherence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risk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policy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compliance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with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internal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external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regulations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leadership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skills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management,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teamwork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creativity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motivation, 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cooperation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with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other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operational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units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 control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functions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39FC5EAD" w14:textId="77777777" w:rsid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3180CC64" w14:textId="580E1CA7" w:rsid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Employee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performance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documented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 </w:t>
      </w:r>
      <w:r w:rsidR="00AE5A20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a </w:t>
      </w:r>
      <w:proofErr w:type="spellStart"/>
      <w:r w:rsidR="00AE5A20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dedicated</w:t>
      </w:r>
      <w:proofErr w:type="spellEnd"/>
      <w:r w:rsidR="00AE5A20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tool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.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Employees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enter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their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annual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objectives,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which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are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reviewed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with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their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manager 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then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validated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. At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year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-end, objectives are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evaluated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based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achievement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. This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evaluation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informs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decisions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51102090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4336ACEF" w14:textId="77777777" w:rsidR="00A7680B" w:rsidRPr="00A7680B" w:rsidRDefault="00A7680B" w:rsidP="00A7680B">
      <w:pPr>
        <w:numPr>
          <w:ilvl w:val="0"/>
          <w:numId w:val="4"/>
        </w:numPr>
        <w:jc w:val="both"/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Application of the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Proportionnality</w:t>
      </w:r>
      <w:proofErr w:type="spellEnd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principle</w:t>
      </w:r>
      <w:proofErr w:type="spellEnd"/>
    </w:p>
    <w:p w14:paraId="02E680AD" w14:textId="77777777" w:rsid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23953653" w14:textId="72BE2035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The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applies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proportionality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principle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at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level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considering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characteristics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notably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:</w:t>
      </w:r>
      <w:proofErr w:type="gramEnd"/>
    </w:p>
    <w:p w14:paraId="6755B7E9" w14:textId="77777777" w:rsidR="00A7680B" w:rsidRDefault="00A7680B" w:rsidP="00A7680B">
      <w:pPr>
        <w:numPr>
          <w:ilvl w:val="0"/>
          <w:numId w:val="10"/>
        </w:num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Small size (few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employees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identified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personnel, and assets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under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below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€1.25 billion</w:t>
      </w:r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);</w:t>
      </w:r>
      <w:proofErr w:type="gramEnd"/>
    </w:p>
    <w:p w14:paraId="6678A6AE" w14:textId="2529DF89" w:rsidR="00A7680B" w:rsidRDefault="00A7680B" w:rsidP="00A7680B">
      <w:pPr>
        <w:numPr>
          <w:ilvl w:val="0"/>
          <w:numId w:val="10"/>
        </w:num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Simplicity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internal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organization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(simple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legal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governance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structure, no </w:t>
      </w:r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listing</w:t>
      </w:r>
      <w:proofErr w:type="gram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the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or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AIFs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;</w:t>
      </w:r>
      <w:proofErr w:type="gram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if a portfolio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ever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listed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the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would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sell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stake</w:t>
      </w:r>
      <w:proofErr w:type="spellEnd"/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);</w:t>
      </w:r>
      <w:proofErr w:type="gram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</w:t>
      </w:r>
    </w:p>
    <w:p w14:paraId="2E51DE67" w14:textId="3D9F5919" w:rsidR="00A7680B" w:rsidRPr="00A7680B" w:rsidRDefault="00A7680B" w:rsidP="00A7680B">
      <w:pPr>
        <w:numPr>
          <w:ilvl w:val="0"/>
          <w:numId w:val="10"/>
        </w:num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Nature 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low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complexity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activities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(single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investment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strategy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, non-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complex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products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no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leverage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managed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AIFs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no branches or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subsidiaries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no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parallel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UCITS management,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extremely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limited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MiFID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investment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services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consisting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only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investment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advice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).</w:t>
      </w:r>
    </w:p>
    <w:p w14:paraId="27F15B1A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15B7474D" w14:textId="62AC2C29" w:rsid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At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level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proportionality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allows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not to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establish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committee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  <w:r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Proportionality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also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applies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certain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identified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personnel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whose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structure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particularly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simple,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relying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on:</w:t>
      </w:r>
      <w:proofErr w:type="gramEnd"/>
    </w:p>
    <w:p w14:paraId="3127F986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3337199C" w14:textId="77777777" w:rsidR="00A7680B" w:rsidRPr="00A7680B" w:rsidRDefault="00A7680B" w:rsidP="00A7680B">
      <w:pPr>
        <w:numPr>
          <w:ilvl w:val="0"/>
          <w:numId w:val="10"/>
        </w:num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A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fixed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component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representing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sufficiently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high proportion of total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allow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total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flexibility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 the variable </w:t>
      </w:r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component;</w:t>
      </w:r>
      <w:proofErr w:type="gramEnd"/>
    </w:p>
    <w:p w14:paraId="63DE37D5" w14:textId="77777777" w:rsidR="00A7680B" w:rsidRPr="00A7680B" w:rsidRDefault="00A7680B" w:rsidP="00A7680B">
      <w:pPr>
        <w:numPr>
          <w:ilvl w:val="0"/>
          <w:numId w:val="10"/>
        </w:num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Optionally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a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discretionary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bonus as </w:t>
      </w:r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</w:t>
      </w:r>
      <w:proofErr w:type="gram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variable component.</w:t>
      </w:r>
    </w:p>
    <w:p w14:paraId="5F10CF21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lastRenderedPageBreak/>
        <w:t xml:space="preserve">For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this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category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personnel, the fraction of variable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corresponding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discretionary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bonus not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exceeding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€200,000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paid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entirely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 cash and in one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installment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subject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Lazard’s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policy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3A46FDA4" w14:textId="77777777" w:rsid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22E6FC48" w14:textId="659C5A74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For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other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categories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identified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personnel—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specifically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Senior Financial Managers—the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has not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applied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proportionality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principle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 has not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defined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 maximum variable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amount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or percentage.</w:t>
      </w:r>
    </w:p>
    <w:p w14:paraId="71F92918" w14:textId="77777777" w:rsid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12692116" w14:textId="507D4CD3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However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the allocation 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payment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rules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for variable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for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these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categories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are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governed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by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rules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</w:t>
      </w:r>
      <w:proofErr w:type="spellStart"/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ensure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:</w:t>
      </w:r>
      <w:proofErr w:type="gramEnd"/>
    </w:p>
    <w:p w14:paraId="6627150B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(i)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alignment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interests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between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funds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manages</w:t>
      </w:r>
      <w:proofErr w:type="gram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and </w:t>
      </w:r>
      <w:proofErr w:type="spellStart"/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investors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;</w:t>
      </w:r>
      <w:proofErr w:type="gram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br/>
        <w:t xml:space="preserve">(ii)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avoidance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risk-taking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incompatible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with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Company’s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or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funds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’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risk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profiles;</w:t>
      </w:r>
      <w:proofErr w:type="gram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</w:t>
      </w: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br/>
        <w:t xml:space="preserve">(iii)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avoidance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conflicts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interest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045F2EDA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proofErr w:type="spellStart"/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Specifically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:</w:t>
      </w:r>
      <w:proofErr w:type="gramEnd"/>
    </w:p>
    <w:p w14:paraId="52950B3B" w14:textId="41572BDE" w:rsidR="00A7680B" w:rsidRPr="00A7680B" w:rsidRDefault="00A7680B" w:rsidP="00A7680B">
      <w:pPr>
        <w:numPr>
          <w:ilvl w:val="0"/>
          <w:numId w:val="11"/>
        </w:num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Variable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amounts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are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conditional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precise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milestones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such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as first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fundraising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structuring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and are not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intended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adversely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affect the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Company’s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risk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profile,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jeopardize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capital, or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create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conflicts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</w:t>
      </w:r>
      <w:proofErr w:type="spellStart"/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interest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;</w:t>
      </w:r>
      <w:proofErr w:type="gramEnd"/>
    </w:p>
    <w:p w14:paraId="3ADCAC74" w14:textId="77777777" w:rsidR="00A7680B" w:rsidRPr="00A7680B" w:rsidRDefault="00A7680B" w:rsidP="00A7680B">
      <w:pPr>
        <w:numPr>
          <w:ilvl w:val="0"/>
          <w:numId w:val="11"/>
        </w:num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As a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private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equity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manager, portfolio managers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invest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ordinary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shares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(in addition to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Carried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Interest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shares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they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may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hold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).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Given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characteristics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these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funds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private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equity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managers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cannot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easily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pay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 instruments.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Therefore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investment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ordinary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shares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most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appropriate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method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meet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AIFMD variable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requirements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ensuring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sufficient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proportion 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following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fund-raising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schedule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. The initial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investment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will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cover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nearly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all instrument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payment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requirements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for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discretionary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bonuses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subsequent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years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7649C320" w14:textId="77777777" w:rsid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3ED0A5B3" w14:textId="13106044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Investment in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ordinary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shares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inherently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incorporates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AIFMD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principles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deferral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retention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ex-post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risk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adjustment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alignment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interests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between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investors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employees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65718969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Variable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paid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only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justified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by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individual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performance, compatible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with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Company’s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financial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situation, 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does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not impair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ability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strengthen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capital if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needed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4FB162A0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The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applies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variable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payment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methods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this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category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personnel in compliance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with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AIFMD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requirements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63217A07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16533995" w14:textId="77777777" w:rsidR="00A7680B" w:rsidRPr="00A7680B" w:rsidRDefault="00A7680B" w:rsidP="00A7680B">
      <w:pPr>
        <w:numPr>
          <w:ilvl w:val="0"/>
          <w:numId w:val="4"/>
        </w:numPr>
        <w:jc w:val="both"/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Method of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Payment</w:t>
      </w:r>
      <w:proofErr w:type="spellEnd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 of Variable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Remunearion</w:t>
      </w:r>
      <w:proofErr w:type="spellEnd"/>
    </w:p>
    <w:p w14:paraId="11D4D735" w14:textId="77777777" w:rsidR="00A7680B" w:rsidRPr="00A7680B" w:rsidRDefault="00A7680B" w:rsidP="00A7680B">
      <w:pPr>
        <w:jc w:val="both"/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</w:pPr>
    </w:p>
    <w:p w14:paraId="2D50CA12" w14:textId="77777777" w:rsidR="00A7680B" w:rsidRPr="00A7680B" w:rsidRDefault="00A7680B" w:rsidP="00A7680B">
      <w:pPr>
        <w:numPr>
          <w:ilvl w:val="0"/>
          <w:numId w:val="5"/>
        </w:numPr>
        <w:jc w:val="both"/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Portion of variable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paid</w:t>
      </w:r>
      <w:proofErr w:type="spellEnd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 in Cash and Financial instruments</w:t>
      </w:r>
    </w:p>
    <w:p w14:paraId="680DC085" w14:textId="77777777" w:rsid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70703315" w14:textId="07D553E8" w:rsid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For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identified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personnel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whose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variable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exceeds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€200,000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gross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variable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primarily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paid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 </w:t>
      </w:r>
      <w:proofErr w:type="spellStart"/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cash</w:t>
      </w:r>
      <w:r w:rsidR="00AE5A20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However</w:t>
      </w:r>
      <w:proofErr w:type="spellEnd"/>
      <w:proofErr w:type="gram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at least 50% of the variable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will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invested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by portfolio managers in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ordinary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shares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considering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specific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functioning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private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equity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funds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 the initial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investment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made by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individuals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concerned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514E9C99" w14:textId="77777777" w:rsidR="00A7680B" w:rsidRPr="00A7680B" w:rsidRDefault="00A7680B" w:rsidP="00A7680B">
      <w:pPr>
        <w:jc w:val="both"/>
        <w:rPr>
          <w:rFonts w:ascii="Zeist VF" w:hAnsi="Zeist VF" w:cs="ZeistVF-RegularN1"/>
          <w:iCs/>
          <w:color w:val="000000"/>
          <w:sz w:val="18"/>
          <w:szCs w:val="18"/>
          <w:lang w:val="fr-FR" w:eastAsia="en-US"/>
        </w:rPr>
      </w:pPr>
    </w:p>
    <w:p w14:paraId="60CF4E3C" w14:textId="77777777" w:rsidR="00A7680B" w:rsidRPr="00A7680B" w:rsidRDefault="00A7680B" w:rsidP="00A7680B">
      <w:pPr>
        <w:numPr>
          <w:ilvl w:val="0"/>
          <w:numId w:val="4"/>
        </w:numPr>
        <w:jc w:val="both"/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lastRenderedPageBreak/>
        <w:t xml:space="preserve">Team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subscription</w:t>
      </w:r>
      <w:proofErr w:type="spellEnd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 to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Managed</w:t>
      </w:r>
      <w:proofErr w:type="spellEnd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Fund</w:t>
      </w:r>
      <w:proofErr w:type="spellEnd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Shares</w:t>
      </w:r>
      <w:proofErr w:type="spellEnd"/>
    </w:p>
    <w:p w14:paraId="0BF92C4A" w14:textId="77777777" w:rsidR="00A7680B" w:rsidRPr="00A7680B" w:rsidRDefault="00A7680B" w:rsidP="00A7680B">
      <w:pPr>
        <w:jc w:val="both"/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</w:pPr>
    </w:p>
    <w:p w14:paraId="7124DA36" w14:textId="77777777" w:rsidR="00A7680B" w:rsidRDefault="00A7680B" w:rsidP="00A7680B">
      <w:pPr>
        <w:numPr>
          <w:ilvl w:val="0"/>
          <w:numId w:val="6"/>
        </w:numPr>
        <w:jc w:val="both"/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</w:pP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Subscription</w:t>
      </w:r>
      <w:proofErr w:type="spellEnd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 to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Ordinary</w:t>
      </w:r>
      <w:proofErr w:type="spellEnd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shares</w:t>
      </w:r>
      <w:proofErr w:type="spellEnd"/>
    </w:p>
    <w:p w14:paraId="19F54C05" w14:textId="77777777" w:rsidR="00A7680B" w:rsidRPr="00A7680B" w:rsidRDefault="00A7680B" w:rsidP="00A7680B">
      <w:pPr>
        <w:ind w:left="1440"/>
        <w:jc w:val="both"/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</w:pPr>
    </w:p>
    <w:p w14:paraId="2DD446D3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The Management Team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will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invest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ordinary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shares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funds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under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management. This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investment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ensures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both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alignment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interests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(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between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funds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investors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),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deferral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a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significant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portion of variable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retention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variable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 instruments, as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these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types of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funds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do not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distribute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income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for a minimum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period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five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years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.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Moreover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all or part of variable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will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invested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these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ordinary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shares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. This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allows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managers to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with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both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AIFMD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requirements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 LP expectations.</w:t>
      </w:r>
    </w:p>
    <w:p w14:paraId="43ADD435" w14:textId="52FE2665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Private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equity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funds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have short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fundraising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periods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so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most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this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investment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will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made </w:t>
      </w:r>
      <w:proofErr w:type="spellStart"/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upfront</w:t>
      </w:r>
      <w:r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,</w:t>
      </w: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at</w:t>
      </w:r>
      <w:proofErr w:type="spellEnd"/>
      <w:proofErr w:type="gram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fund’s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creation</w:t>
      </w:r>
      <w:proofErr w:type="spellEnd"/>
      <w:r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using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managers’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own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resources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since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no bonus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could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have been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awarded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or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paid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at the first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fund’s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closing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.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Subsequent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variable (and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fixed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)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will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also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invested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during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future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calls.</w:t>
      </w:r>
    </w:p>
    <w:p w14:paraId="400E836F" w14:textId="77777777" w:rsid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7EB2E0FF" w14:textId="7B13C236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In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case,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amounts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invested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during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initial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subscription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period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will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exceed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in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absolute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value,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regulatory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requirements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:</w:t>
      </w:r>
      <w:proofErr w:type="gramEnd"/>
    </w:p>
    <w:p w14:paraId="2F6E9E7C" w14:textId="77777777" w:rsidR="00A7680B" w:rsidRPr="00A7680B" w:rsidRDefault="00A7680B" w:rsidP="00A7680B">
      <w:pPr>
        <w:numPr>
          <w:ilvl w:val="0"/>
          <w:numId w:val="12"/>
        </w:num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At least 40% of variable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must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deferred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over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three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years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following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fund’s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creation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;</w:t>
      </w:r>
      <w:proofErr w:type="gramEnd"/>
    </w:p>
    <w:p w14:paraId="41C2BAA9" w14:textId="77777777" w:rsidR="00A7680B" w:rsidRPr="00A7680B" w:rsidRDefault="00A7680B" w:rsidP="00A7680B">
      <w:pPr>
        <w:numPr>
          <w:ilvl w:val="0"/>
          <w:numId w:val="12"/>
        </w:num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At least 50% of variable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must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paid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 instruments.</w:t>
      </w:r>
    </w:p>
    <w:p w14:paraId="667FC766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The bulk of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investment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at the first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subscription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ensures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long-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term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alignment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interests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 encourages the Management Team to </w:t>
      </w:r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manage</w:t>
      </w:r>
      <w:proofErr w:type="gram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prudently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without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incentivizing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risk-taking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incompatible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with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risk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profiles,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regulations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or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governing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documents of the relevant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funds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in accordance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with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AIFMD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regulatory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requirements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4F11845F" w14:textId="77777777" w:rsidR="00A7680B" w:rsidRPr="00A7680B" w:rsidRDefault="00A7680B" w:rsidP="00A7680B">
      <w:pPr>
        <w:jc w:val="both"/>
        <w:rPr>
          <w:rFonts w:ascii="Zeist VF" w:hAnsi="Zeist VF" w:cs="ZeistVF-RegularN1"/>
          <w:bCs/>
          <w:color w:val="000000"/>
          <w:sz w:val="18"/>
          <w:szCs w:val="18"/>
          <w:lang w:val="fr-FR" w:eastAsia="en-US"/>
        </w:rPr>
      </w:pPr>
    </w:p>
    <w:p w14:paraId="6E101510" w14:textId="77777777" w:rsidR="00A7680B" w:rsidRDefault="00A7680B" w:rsidP="00A7680B">
      <w:pPr>
        <w:numPr>
          <w:ilvl w:val="0"/>
          <w:numId w:val="6"/>
        </w:numPr>
        <w:jc w:val="both"/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</w:pP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Subscription</w:t>
      </w:r>
      <w:proofErr w:type="spellEnd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 to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carried</w:t>
      </w:r>
      <w:proofErr w:type="spellEnd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interest</w:t>
      </w:r>
      <w:proofErr w:type="spellEnd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 for certain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category</w:t>
      </w:r>
      <w:proofErr w:type="spellEnd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 of Personnel</w:t>
      </w:r>
    </w:p>
    <w:p w14:paraId="2CE14D99" w14:textId="77777777" w:rsidR="00A7680B" w:rsidRPr="00A7680B" w:rsidRDefault="00A7680B" w:rsidP="00A7680B">
      <w:pPr>
        <w:ind w:left="1440"/>
        <w:jc w:val="both"/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</w:pPr>
    </w:p>
    <w:p w14:paraId="7A04FDDF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bookmarkStart w:id="0" w:name="_Toc148106072"/>
      <w:bookmarkStart w:id="1" w:name="_Toc148521147"/>
      <w:bookmarkStart w:id="2" w:name="_Toc148521552"/>
      <w:bookmarkEnd w:id="0"/>
      <w:bookmarkEnd w:id="1"/>
      <w:bookmarkEnd w:id="2"/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Additionally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the Management Team, certain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investment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team</w:t>
      </w:r>
      <w:proofErr w:type="gram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members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some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support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function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employees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may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invest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 certain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funds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through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Carried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Interest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shares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which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are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via an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excess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return (“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Carried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Interest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from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 performance surplus”). This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subscription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opportunity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 addition to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receiving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variable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for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employees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concerned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2C8C45FB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Carried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Interest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inherently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subject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to:</w:t>
      </w:r>
      <w:proofErr w:type="gramEnd"/>
    </w:p>
    <w:p w14:paraId="1C656C4D" w14:textId="77777777" w:rsidR="00A7680B" w:rsidRPr="00A7680B" w:rsidRDefault="00A7680B" w:rsidP="00A7680B">
      <w:pPr>
        <w:numPr>
          <w:ilvl w:val="0"/>
          <w:numId w:val="13"/>
        </w:num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Deferred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payment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(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conditioned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on long-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term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performance</w:t>
      </w:r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);</w:t>
      </w:r>
      <w:proofErr w:type="gramEnd"/>
    </w:p>
    <w:p w14:paraId="79F88FB3" w14:textId="77777777" w:rsidR="00A7680B" w:rsidRPr="00A7680B" w:rsidRDefault="00A7680B" w:rsidP="00A7680B">
      <w:pPr>
        <w:numPr>
          <w:ilvl w:val="0"/>
          <w:numId w:val="13"/>
        </w:num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Retention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requirements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;</w:t>
      </w:r>
      <w:proofErr w:type="gramEnd"/>
    </w:p>
    <w:p w14:paraId="4FADBC0A" w14:textId="77777777" w:rsidR="00A7680B" w:rsidRPr="00A7680B" w:rsidRDefault="00A7680B" w:rsidP="00A7680B">
      <w:pPr>
        <w:numPr>
          <w:ilvl w:val="0"/>
          <w:numId w:val="13"/>
        </w:num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Ex-post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risk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incorporation;</w:t>
      </w:r>
      <w:proofErr w:type="gram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</w:t>
      </w:r>
    </w:p>
    <w:p w14:paraId="5713A8C5" w14:textId="77777777" w:rsidR="00A7680B" w:rsidRPr="00A7680B" w:rsidRDefault="00A7680B" w:rsidP="00A7680B">
      <w:pPr>
        <w:numPr>
          <w:ilvl w:val="0"/>
          <w:numId w:val="13"/>
        </w:num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Alignment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interests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between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investors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employees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283E5EF1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Payment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deferred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because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subordinated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to:</w:t>
      </w:r>
      <w:proofErr w:type="gramEnd"/>
    </w:p>
    <w:p w14:paraId="7BCD0110" w14:textId="77777777" w:rsidR="00A7680B" w:rsidRPr="00A7680B" w:rsidRDefault="00A7680B" w:rsidP="00A7680B">
      <w:pPr>
        <w:numPr>
          <w:ilvl w:val="0"/>
          <w:numId w:val="14"/>
        </w:num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Repayment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capital on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ordinary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shares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;</w:t>
      </w:r>
      <w:proofErr w:type="gramEnd"/>
    </w:p>
    <w:p w14:paraId="02AEC7E4" w14:textId="77777777" w:rsidR="00A7680B" w:rsidRPr="00A7680B" w:rsidRDefault="00A7680B" w:rsidP="00A7680B">
      <w:pPr>
        <w:numPr>
          <w:ilvl w:val="0"/>
          <w:numId w:val="14"/>
        </w:num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Repayment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capital on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Carried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Interest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proofErr w:type="gram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shares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;</w:t>
      </w:r>
      <w:proofErr w:type="gramEnd"/>
    </w:p>
    <w:p w14:paraId="063719B9" w14:textId="77777777" w:rsidR="00A7680B" w:rsidRPr="00A7680B" w:rsidRDefault="00A7680B" w:rsidP="00A7680B">
      <w:pPr>
        <w:numPr>
          <w:ilvl w:val="0"/>
          <w:numId w:val="14"/>
        </w:num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Payment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the “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hurdle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” on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ordinary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shares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0AE281EA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lastRenderedPageBreak/>
        <w:t>Carried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Interest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shares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may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offered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both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identified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 non-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identified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personnel.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Detailed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characteristics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shares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are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specified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regulations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 are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subject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negotiation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with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investors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.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Carried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Interest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shares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are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paid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by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subscribers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the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from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their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own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funds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2E9E9EDC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Consequently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and in accordance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with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Question 8 of the AMF AIFM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Guide (August 2013),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payments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made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directly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by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managed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funds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personnel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who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subscribed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to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Carried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Interest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shares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exceeding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pro-rata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return on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investment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(performance surplus)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may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under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principle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proportionality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 not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subject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 to AIFMD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deferral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retention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instrument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payment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, and ex-post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risk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incorporation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rules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.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Carried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Interest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model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already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integrates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these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principles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by design.</w:t>
      </w:r>
    </w:p>
    <w:p w14:paraId="16411A43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5A993074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41E4A580" w14:textId="77777777" w:rsidR="00A7680B" w:rsidRDefault="00A7680B" w:rsidP="00A7680B">
      <w:pPr>
        <w:numPr>
          <w:ilvl w:val="0"/>
          <w:numId w:val="4"/>
        </w:numPr>
        <w:jc w:val="both"/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 xml:space="preserve">Communication and </w:t>
      </w:r>
      <w:proofErr w:type="spellStart"/>
      <w:r w:rsidRPr="00A7680B"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  <w:t>reporting</w:t>
      </w:r>
      <w:proofErr w:type="spellEnd"/>
    </w:p>
    <w:p w14:paraId="4C959EB5" w14:textId="77777777" w:rsidR="00A7680B" w:rsidRPr="00A7680B" w:rsidRDefault="00A7680B" w:rsidP="00A7680B">
      <w:pPr>
        <w:ind w:left="1080"/>
        <w:jc w:val="both"/>
        <w:rPr>
          <w:rFonts w:ascii="Zeist VF" w:hAnsi="Zeist VF" w:cs="ZeistVF-RegularN1"/>
          <w:b/>
          <w:color w:val="000000"/>
          <w:sz w:val="18"/>
          <w:szCs w:val="18"/>
          <w:lang w:val="fr-FR" w:eastAsia="en-US"/>
        </w:rPr>
      </w:pPr>
    </w:p>
    <w:p w14:paraId="7BADE914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The Management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Company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will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at least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annually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disclose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information on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of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risk-takers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annual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reports of the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managed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funds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59D38C57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Detailed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information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regarding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remuneration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policies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 practices for the relevant personnel must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published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. It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important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that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this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information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published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at least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annually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and as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soon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as possible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after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it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becomes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 xml:space="preserve"> </w:t>
      </w:r>
      <w:proofErr w:type="spellStart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available</w:t>
      </w:r>
      <w:proofErr w:type="spellEnd"/>
      <w:r w:rsidRPr="00A7680B">
        <w:rPr>
          <w:rFonts w:ascii="Zeist VF" w:hAnsi="Zeist VF" w:cs="ZeistVF-RegularN1"/>
          <w:color w:val="000000"/>
          <w:sz w:val="18"/>
          <w:szCs w:val="18"/>
          <w:lang w:val="fr-FR" w:eastAsia="en-US"/>
        </w:rPr>
        <w:t>.</w:t>
      </w:r>
    </w:p>
    <w:p w14:paraId="23BBCAFC" w14:textId="77777777" w:rsidR="00A7680B" w:rsidRPr="00A7680B" w:rsidRDefault="00A7680B" w:rsidP="00A7680B">
      <w:pPr>
        <w:jc w:val="both"/>
        <w:rPr>
          <w:rFonts w:ascii="Zeist VF" w:hAnsi="Zeist VF" w:cs="ZeistVF-RegularN1"/>
          <w:color w:val="000000"/>
          <w:sz w:val="18"/>
          <w:szCs w:val="18"/>
          <w:lang w:val="fr-FR" w:eastAsia="en-US"/>
        </w:rPr>
      </w:pPr>
    </w:p>
    <w:p w14:paraId="66D6EFF5" w14:textId="77777777" w:rsidR="008364F9" w:rsidRPr="00A7680B" w:rsidRDefault="008364F9" w:rsidP="00A7680B">
      <w:pPr>
        <w:jc w:val="both"/>
      </w:pPr>
    </w:p>
    <w:sectPr w:rsidR="008364F9" w:rsidRPr="00A7680B" w:rsidSect="008364F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84" w:right="794" w:bottom="794" w:left="794" w:header="709" w:footer="59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10B1" w14:textId="77777777" w:rsidR="000944F9" w:rsidRDefault="000944F9" w:rsidP="008364F9">
      <w:pPr>
        <w:spacing w:line="240" w:lineRule="auto"/>
      </w:pPr>
      <w:r>
        <w:separator/>
      </w:r>
    </w:p>
  </w:endnote>
  <w:endnote w:type="continuationSeparator" w:id="0">
    <w:p w14:paraId="78287D5D" w14:textId="77777777" w:rsidR="000944F9" w:rsidRDefault="000944F9" w:rsidP="00836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55 Roman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Zeist VF">
    <w:panose1 w:val="020B0604020202020204"/>
    <w:charset w:val="4D"/>
    <w:family w:val="auto"/>
    <w:notTrueType/>
    <w:pitch w:val="variable"/>
    <w:sig w:usb0="A10000FF" w:usb1="0000207A" w:usb2="00000000" w:usb3="00000000" w:csb0="00000193" w:csb1="00000000"/>
  </w:font>
  <w:font w:name="ZeistVF-RegularN1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5154"/>
    </w:tblGrid>
    <w:tr w:rsidR="008364F9" w14:paraId="5DB8C80F" w14:textId="77777777" w:rsidTr="00A212F5">
      <w:tc>
        <w:tcPr>
          <w:tcW w:w="5154" w:type="dxa"/>
          <w:vAlign w:val="bottom"/>
        </w:tcPr>
        <w:p w14:paraId="03162046" w14:textId="77777777" w:rsidR="008364F9" w:rsidRDefault="008364F9" w:rsidP="008364F9">
          <w:pPr>
            <w:pStyle w:val="Paragraphestandard"/>
            <w:suppressAutoHyphens/>
            <w:rPr>
              <w:rFonts w:ascii="ZeistVF-RegularN1" w:hAnsi="ZeistVF-RegularN1" w:cs="ZeistVF-RegularN1"/>
              <w:sz w:val="14"/>
              <w:szCs w:val="14"/>
            </w:rPr>
          </w:pPr>
          <w:r>
            <w:rPr>
              <w:rFonts w:ascii="ZeistVF-RegularN1" w:hAnsi="ZeistVF-RegularN1" w:cs="ZeistVF-RegularN1"/>
              <w:sz w:val="14"/>
              <w:szCs w:val="14"/>
            </w:rPr>
            <w:t xml:space="preserve">Lazard </w:t>
          </w:r>
          <w:proofErr w:type="spellStart"/>
          <w:r>
            <w:rPr>
              <w:rFonts w:ascii="ZeistVF-RegularN1" w:hAnsi="ZeistVF-RegularN1" w:cs="ZeistVF-RegularN1"/>
              <w:sz w:val="14"/>
              <w:szCs w:val="14"/>
            </w:rPr>
            <w:t>Elaia</w:t>
          </w:r>
          <w:proofErr w:type="spellEnd"/>
          <w:r>
            <w:rPr>
              <w:rFonts w:ascii="ZeistVF-RegularN1" w:hAnsi="ZeistVF-RegularN1" w:cs="ZeistVF-RegularN1"/>
              <w:sz w:val="14"/>
              <w:szCs w:val="14"/>
            </w:rPr>
            <w:t xml:space="preserve"> Capital</w:t>
          </w:r>
        </w:p>
        <w:p w14:paraId="02E0E1FE" w14:textId="77777777" w:rsidR="008364F9" w:rsidRDefault="008364F9" w:rsidP="008364F9">
          <w:pPr>
            <w:pStyle w:val="Paragraphestandard"/>
            <w:suppressAutoHyphens/>
            <w:rPr>
              <w:rFonts w:ascii="ZeistVF-RegularN1" w:hAnsi="ZeistVF-RegularN1" w:cs="ZeistVF-RegularN1"/>
              <w:sz w:val="14"/>
              <w:szCs w:val="14"/>
            </w:rPr>
          </w:pPr>
          <w:r>
            <w:rPr>
              <w:rFonts w:ascii="ZeistVF-RegularN1" w:hAnsi="ZeistVF-RegularN1" w:cs="ZeistVF-RegularN1"/>
              <w:sz w:val="14"/>
              <w:szCs w:val="14"/>
            </w:rPr>
            <w:t>21 rue d’Uzès, 75002 Paris</w:t>
          </w:r>
        </w:p>
        <w:p w14:paraId="084A8879" w14:textId="77777777" w:rsidR="008364F9" w:rsidRDefault="008364F9" w:rsidP="008364F9">
          <w:pPr>
            <w:pStyle w:val="Paragraphestandard"/>
            <w:suppressAutoHyphens/>
            <w:rPr>
              <w:rFonts w:ascii="ZeistVF-RegularN1" w:hAnsi="ZeistVF-RegularN1" w:cs="ZeistVF-RegularN1"/>
              <w:sz w:val="14"/>
              <w:szCs w:val="14"/>
            </w:rPr>
          </w:pPr>
          <w:r>
            <w:rPr>
              <w:rFonts w:ascii="ZeistVF-RegularN1" w:hAnsi="ZeistVF-RegularN1" w:cs="ZeistVF-RegularN1"/>
              <w:sz w:val="14"/>
              <w:szCs w:val="14"/>
            </w:rPr>
            <w:t>+33 8 93 02 54 73</w:t>
          </w:r>
        </w:p>
        <w:p w14:paraId="2E62411A" w14:textId="77777777" w:rsidR="008364F9" w:rsidRDefault="008364F9" w:rsidP="008364F9">
          <w:pPr>
            <w:pStyle w:val="Pieddepage"/>
          </w:pPr>
          <w:r>
            <w:rPr>
              <w:rFonts w:ascii="ZeistVF-RegularN1" w:hAnsi="ZeistVF-RegularN1" w:cs="ZeistVF-RegularN1"/>
              <w:sz w:val="14"/>
              <w:szCs w:val="14"/>
            </w:rPr>
            <w:t>contact@lazardelaiacapital.com</w:t>
          </w:r>
        </w:p>
      </w:tc>
      <w:tc>
        <w:tcPr>
          <w:tcW w:w="5154" w:type="dxa"/>
          <w:vAlign w:val="bottom"/>
        </w:tcPr>
        <w:p w14:paraId="0A6848AD" w14:textId="77777777" w:rsidR="008364F9" w:rsidRPr="008364F9" w:rsidRDefault="008364F9" w:rsidP="008364F9">
          <w:pPr>
            <w:pStyle w:val="Paragraphestandard"/>
            <w:suppressAutoHyphens/>
            <w:jc w:val="right"/>
            <w:rPr>
              <w:rFonts w:ascii="ZeistVF-RegularN1" w:hAnsi="ZeistVF-RegularN1" w:cs="ZeistVF-RegularN1"/>
              <w:sz w:val="14"/>
              <w:szCs w:val="14"/>
            </w:rPr>
          </w:pPr>
          <w:r>
            <w:rPr>
              <w:rFonts w:ascii="ZeistVF-RegularN1" w:hAnsi="ZeistVF-RegularN1" w:cs="ZeistVF-RegularN1"/>
              <w:sz w:val="14"/>
              <w:szCs w:val="14"/>
            </w:rPr>
            <w:t>lazardelaiacapital.com</w:t>
          </w:r>
        </w:p>
      </w:tc>
    </w:tr>
  </w:tbl>
  <w:p w14:paraId="14DFDA48" w14:textId="77777777" w:rsidR="008364F9" w:rsidRDefault="008364F9" w:rsidP="008364F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5154"/>
    </w:tblGrid>
    <w:tr w:rsidR="008364F9" w:rsidRPr="00B275A1" w14:paraId="77EBB969" w14:textId="77777777" w:rsidTr="008364F9">
      <w:tc>
        <w:tcPr>
          <w:tcW w:w="5154" w:type="dxa"/>
          <w:vAlign w:val="bottom"/>
        </w:tcPr>
        <w:p w14:paraId="54377BA5" w14:textId="77777777" w:rsidR="008364F9" w:rsidRPr="00B275A1" w:rsidRDefault="008364F9" w:rsidP="008364F9">
          <w:pPr>
            <w:pStyle w:val="Paragraphestandard"/>
            <w:suppressAutoHyphens/>
            <w:rPr>
              <w:rFonts w:ascii="Zeist VF" w:hAnsi="Zeist VF" w:cs="ZeistVF-RegularN1"/>
              <w:sz w:val="14"/>
              <w:szCs w:val="14"/>
            </w:rPr>
          </w:pPr>
          <w:r w:rsidRPr="00B275A1">
            <w:rPr>
              <w:rFonts w:ascii="Zeist VF" w:hAnsi="Zeist VF" w:cs="ZeistVF-RegularN1"/>
              <w:sz w:val="14"/>
              <w:szCs w:val="14"/>
            </w:rPr>
            <w:t xml:space="preserve">Lazard </w:t>
          </w:r>
          <w:proofErr w:type="spellStart"/>
          <w:r w:rsidRPr="00B275A1">
            <w:rPr>
              <w:rFonts w:ascii="Zeist VF" w:hAnsi="Zeist VF" w:cs="ZeistVF-RegularN1"/>
              <w:sz w:val="14"/>
              <w:szCs w:val="14"/>
            </w:rPr>
            <w:t>Elaia</w:t>
          </w:r>
          <w:proofErr w:type="spellEnd"/>
          <w:r w:rsidRPr="00B275A1">
            <w:rPr>
              <w:rFonts w:ascii="Zeist VF" w:hAnsi="Zeist VF" w:cs="ZeistVF-RegularN1"/>
              <w:sz w:val="14"/>
              <w:szCs w:val="14"/>
            </w:rPr>
            <w:t xml:space="preserve"> Capital</w:t>
          </w:r>
        </w:p>
        <w:p w14:paraId="6F8F3D62" w14:textId="77777777" w:rsidR="008364F9" w:rsidRPr="00B275A1" w:rsidRDefault="008364F9" w:rsidP="008364F9">
          <w:pPr>
            <w:pStyle w:val="Paragraphestandard"/>
            <w:suppressAutoHyphens/>
            <w:rPr>
              <w:rFonts w:ascii="Zeist VF" w:hAnsi="Zeist VF" w:cs="ZeistVF-RegularN1"/>
              <w:sz w:val="14"/>
              <w:szCs w:val="14"/>
            </w:rPr>
          </w:pPr>
          <w:r w:rsidRPr="00B275A1">
            <w:rPr>
              <w:rFonts w:ascii="Zeist VF" w:hAnsi="Zeist VF" w:cs="ZeistVF-RegularN1"/>
              <w:sz w:val="14"/>
              <w:szCs w:val="14"/>
            </w:rPr>
            <w:t>21 rue d’Uzès, 75002 Paris</w:t>
          </w:r>
        </w:p>
        <w:p w14:paraId="6532CDA3" w14:textId="77777777" w:rsidR="008364F9" w:rsidRPr="00B275A1" w:rsidRDefault="008364F9" w:rsidP="008364F9">
          <w:pPr>
            <w:pStyle w:val="Paragraphestandard"/>
            <w:suppressAutoHyphens/>
            <w:rPr>
              <w:rFonts w:ascii="Zeist VF" w:hAnsi="Zeist VF" w:cs="ZeistVF-RegularN1"/>
              <w:sz w:val="14"/>
              <w:szCs w:val="14"/>
            </w:rPr>
          </w:pPr>
          <w:r w:rsidRPr="00B275A1">
            <w:rPr>
              <w:rFonts w:ascii="Zeist VF" w:hAnsi="Zeist VF" w:cs="ZeistVF-RegularN1"/>
              <w:sz w:val="14"/>
              <w:szCs w:val="14"/>
            </w:rPr>
            <w:t>+33 8 93 02 54 73</w:t>
          </w:r>
        </w:p>
        <w:p w14:paraId="6907DBC6" w14:textId="77777777" w:rsidR="008364F9" w:rsidRPr="00B275A1" w:rsidRDefault="008364F9" w:rsidP="008364F9">
          <w:pPr>
            <w:pStyle w:val="Pieddepage"/>
            <w:rPr>
              <w:rFonts w:ascii="Zeist VF" w:hAnsi="Zeist VF"/>
            </w:rPr>
          </w:pPr>
          <w:r w:rsidRPr="00B275A1">
            <w:rPr>
              <w:rFonts w:ascii="Zeist VF" w:hAnsi="Zeist VF" w:cs="ZeistVF-RegularN1"/>
              <w:sz w:val="14"/>
              <w:szCs w:val="14"/>
            </w:rPr>
            <w:t>contact@lazardelaiacapital.com</w:t>
          </w:r>
        </w:p>
      </w:tc>
      <w:tc>
        <w:tcPr>
          <w:tcW w:w="5154" w:type="dxa"/>
          <w:vAlign w:val="bottom"/>
        </w:tcPr>
        <w:p w14:paraId="6D873AE8" w14:textId="77777777" w:rsidR="008364F9" w:rsidRPr="00B275A1" w:rsidRDefault="008364F9" w:rsidP="008364F9">
          <w:pPr>
            <w:pStyle w:val="Paragraphestandard"/>
            <w:suppressAutoHyphens/>
            <w:jc w:val="right"/>
            <w:rPr>
              <w:rFonts w:ascii="Zeist VF" w:hAnsi="Zeist VF" w:cs="ZeistVF-RegularN1"/>
              <w:sz w:val="14"/>
              <w:szCs w:val="14"/>
            </w:rPr>
          </w:pPr>
          <w:r w:rsidRPr="00B275A1">
            <w:rPr>
              <w:rFonts w:ascii="Zeist VF" w:hAnsi="Zeist VF" w:cs="ZeistVF-RegularN1"/>
              <w:sz w:val="14"/>
              <w:szCs w:val="14"/>
            </w:rPr>
            <w:t>lazardelaiacapital.com</w:t>
          </w:r>
        </w:p>
      </w:tc>
    </w:tr>
  </w:tbl>
  <w:p w14:paraId="2934D6F9" w14:textId="77777777" w:rsidR="008364F9" w:rsidRDefault="008364F9" w:rsidP="008364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F4532" w14:textId="77777777" w:rsidR="000944F9" w:rsidRDefault="000944F9" w:rsidP="008364F9">
      <w:pPr>
        <w:spacing w:line="240" w:lineRule="auto"/>
      </w:pPr>
      <w:r>
        <w:separator/>
      </w:r>
    </w:p>
  </w:footnote>
  <w:footnote w:type="continuationSeparator" w:id="0">
    <w:p w14:paraId="26DB742C" w14:textId="77777777" w:rsidR="000944F9" w:rsidRDefault="000944F9" w:rsidP="008364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78D5" w14:textId="77777777" w:rsidR="008364F9" w:rsidRDefault="008364F9">
    <w:pPr>
      <w:pStyle w:val="En-tte"/>
    </w:pPr>
  </w:p>
  <w:p w14:paraId="50126AA1" w14:textId="77777777" w:rsidR="008364F9" w:rsidRDefault="008364F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5473" w14:textId="77777777" w:rsidR="008364F9" w:rsidRDefault="008364F9">
    <w:pPr>
      <w:pStyle w:val="En-tte"/>
    </w:pPr>
    <w:r>
      <w:rPr>
        <w:noProof/>
      </w:rPr>
      <w:drawing>
        <wp:inline distT="0" distB="0" distL="0" distR="0" wp14:anchorId="7E769CDA" wp14:editId="276C55C0">
          <wp:extent cx="1014883" cy="626676"/>
          <wp:effectExtent l="0" t="0" r="1270" b="0"/>
          <wp:docPr id="165179414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794142" name="Image 1651794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498" cy="64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0EB3"/>
    <w:multiLevelType w:val="multilevel"/>
    <w:tmpl w:val="B06E14DA"/>
    <w:lvl w:ilvl="0">
      <w:start w:val="1"/>
      <w:numFmt w:val="decimal"/>
      <w:pStyle w:val="Titre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numFmt w:val="decimal"/>
      <w:pStyle w:val="Titre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4569E7"/>
    <w:multiLevelType w:val="multilevel"/>
    <w:tmpl w:val="3DC8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856D4"/>
    <w:multiLevelType w:val="hybridMultilevel"/>
    <w:tmpl w:val="89EED5F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F758D0"/>
    <w:multiLevelType w:val="multilevel"/>
    <w:tmpl w:val="F41A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AA1679"/>
    <w:multiLevelType w:val="multilevel"/>
    <w:tmpl w:val="9092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48788C"/>
    <w:multiLevelType w:val="hybridMultilevel"/>
    <w:tmpl w:val="09AEBDF2"/>
    <w:lvl w:ilvl="0" w:tplc="BC3E3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23A7C"/>
    <w:multiLevelType w:val="multilevel"/>
    <w:tmpl w:val="DB86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008F7"/>
    <w:multiLevelType w:val="hybridMultilevel"/>
    <w:tmpl w:val="A37EBF9C"/>
    <w:lvl w:ilvl="0" w:tplc="C21C400C">
      <w:start w:val="1"/>
      <w:numFmt w:val="lowerRoman"/>
      <w:lvlText w:val="%1)"/>
      <w:lvlJc w:val="left"/>
      <w:pPr>
        <w:tabs>
          <w:tab w:val="num" w:pos="1457"/>
        </w:tabs>
        <w:ind w:left="1457" w:hanging="720"/>
      </w:pPr>
      <w:rPr>
        <w:rFonts w:hint="default"/>
      </w:rPr>
    </w:lvl>
    <w:lvl w:ilvl="1" w:tplc="0366CB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 55 Roman" w:eastAsia="Times New Roman" w:hAnsi="Helvetica 55 Roman" w:cs="Times New Roman" w:hint="default"/>
      </w:rPr>
    </w:lvl>
    <w:lvl w:ilvl="2" w:tplc="5B5C391C">
      <w:start w:val="1"/>
      <w:numFmt w:val="upperRoman"/>
      <w:pStyle w:val="Titre5"/>
      <w:lvlText w:val="%3."/>
      <w:lvlJc w:val="right"/>
      <w:pPr>
        <w:tabs>
          <w:tab w:val="num" w:pos="1314"/>
        </w:tabs>
        <w:ind w:left="1314" w:hanging="180"/>
      </w:pPr>
      <w:rPr>
        <w:rFonts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014DF6"/>
    <w:multiLevelType w:val="multilevel"/>
    <w:tmpl w:val="51D4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014BA7"/>
    <w:multiLevelType w:val="hybridMultilevel"/>
    <w:tmpl w:val="89EED5F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F714B8F"/>
    <w:multiLevelType w:val="hybridMultilevel"/>
    <w:tmpl w:val="084EEBE4"/>
    <w:lvl w:ilvl="0" w:tplc="85DE18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B01BE"/>
    <w:multiLevelType w:val="multilevel"/>
    <w:tmpl w:val="07C8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A6356E"/>
    <w:multiLevelType w:val="multilevel"/>
    <w:tmpl w:val="D836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7338B3"/>
    <w:multiLevelType w:val="multilevel"/>
    <w:tmpl w:val="F892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43857">
    <w:abstractNumId w:val="0"/>
  </w:num>
  <w:num w:numId="2" w16cid:durableId="1092160647">
    <w:abstractNumId w:val="0"/>
  </w:num>
  <w:num w:numId="3" w16cid:durableId="983587966">
    <w:abstractNumId w:val="7"/>
  </w:num>
  <w:num w:numId="4" w16cid:durableId="1565407617">
    <w:abstractNumId w:val="5"/>
  </w:num>
  <w:num w:numId="5" w16cid:durableId="2128237947">
    <w:abstractNumId w:val="9"/>
  </w:num>
  <w:num w:numId="6" w16cid:durableId="1106465228">
    <w:abstractNumId w:val="2"/>
  </w:num>
  <w:num w:numId="7" w16cid:durableId="354353890">
    <w:abstractNumId w:val="12"/>
  </w:num>
  <w:num w:numId="8" w16cid:durableId="788166351">
    <w:abstractNumId w:val="11"/>
  </w:num>
  <w:num w:numId="9" w16cid:durableId="1814560818">
    <w:abstractNumId w:val="6"/>
  </w:num>
  <w:num w:numId="10" w16cid:durableId="2052458172">
    <w:abstractNumId w:val="13"/>
  </w:num>
  <w:num w:numId="11" w16cid:durableId="1377699434">
    <w:abstractNumId w:val="1"/>
  </w:num>
  <w:num w:numId="12" w16cid:durableId="1129281294">
    <w:abstractNumId w:val="8"/>
  </w:num>
  <w:num w:numId="13" w16cid:durableId="36204054">
    <w:abstractNumId w:val="4"/>
  </w:num>
  <w:num w:numId="14" w16cid:durableId="617832864">
    <w:abstractNumId w:val="3"/>
  </w:num>
  <w:num w:numId="15" w16cid:durableId="956339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F9"/>
    <w:rsid w:val="000944F9"/>
    <w:rsid w:val="000E6625"/>
    <w:rsid w:val="002D4D66"/>
    <w:rsid w:val="00525D0C"/>
    <w:rsid w:val="005402B3"/>
    <w:rsid w:val="007A5307"/>
    <w:rsid w:val="007D7E38"/>
    <w:rsid w:val="008364F9"/>
    <w:rsid w:val="00873F56"/>
    <w:rsid w:val="00A7680B"/>
    <w:rsid w:val="00AE5A20"/>
    <w:rsid w:val="00B275A1"/>
    <w:rsid w:val="00B83D7C"/>
    <w:rsid w:val="00E3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7B403B"/>
  <w15:chartTrackingRefBased/>
  <w15:docId w15:val="{682C6FBE-5202-1140-A87F-37092AF2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E38"/>
    <w:pPr>
      <w:spacing w:line="320" w:lineRule="exact"/>
    </w:pPr>
    <w:rPr>
      <w:rFonts w:ascii="Arial" w:hAnsi="Arial"/>
      <w:szCs w:val="24"/>
      <w:lang w:val="en-GB" w:eastAsia="en-GB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7D7E38"/>
    <w:pPr>
      <w:keepNext/>
      <w:numPr>
        <w:numId w:val="2"/>
      </w:numPr>
      <w:spacing w:line="276" w:lineRule="auto"/>
      <w:ind w:right="281"/>
      <w:jc w:val="both"/>
      <w:outlineLvl w:val="0"/>
    </w:pPr>
    <w:rPr>
      <w:rFonts w:ascii="Century Gothic" w:hAnsi="Century Gothic" w:cs="Arial"/>
      <w:b/>
      <w:caps/>
      <w:color w:val="0070C0"/>
      <w:szCs w:val="20"/>
      <w:lang w:val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7D7E38"/>
    <w:pPr>
      <w:keepNext/>
      <w:numPr>
        <w:ilvl w:val="1"/>
        <w:numId w:val="2"/>
      </w:numPr>
      <w:spacing w:line="360" w:lineRule="auto"/>
      <w:jc w:val="both"/>
      <w:outlineLvl w:val="1"/>
    </w:pPr>
    <w:rPr>
      <w:rFonts w:ascii="Helvetica 55 Roman" w:hAnsi="Helvetica 55 Roman"/>
      <w:b/>
      <w:sz w:val="22"/>
      <w:szCs w:val="22"/>
      <w:lang w:val="fr-FR"/>
    </w:rPr>
  </w:style>
  <w:style w:type="paragraph" w:styleId="Titre3">
    <w:name w:val="heading 3"/>
    <w:basedOn w:val="Normal"/>
    <w:next w:val="Normal"/>
    <w:link w:val="Titre3Car"/>
    <w:qFormat/>
    <w:rsid w:val="007D7E38"/>
    <w:pPr>
      <w:keepNext/>
      <w:spacing w:line="300" w:lineRule="auto"/>
      <w:jc w:val="both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7D7E38"/>
    <w:pPr>
      <w:keepNext/>
      <w:spacing w:before="240" w:after="60" w:line="300" w:lineRule="auto"/>
      <w:jc w:val="both"/>
      <w:outlineLvl w:val="3"/>
    </w:pPr>
    <w:rPr>
      <w:b/>
      <w:bCs/>
      <w:sz w:val="28"/>
      <w:szCs w:val="28"/>
      <w:lang w:val="fr-FR"/>
    </w:rPr>
  </w:style>
  <w:style w:type="paragraph" w:styleId="Titre5">
    <w:name w:val="heading 5"/>
    <w:basedOn w:val="Normal"/>
    <w:next w:val="Normal"/>
    <w:link w:val="Titre5Car"/>
    <w:qFormat/>
    <w:rsid w:val="007D7E38"/>
    <w:pPr>
      <w:keepNext/>
      <w:numPr>
        <w:ilvl w:val="2"/>
        <w:numId w:val="3"/>
      </w:numPr>
      <w:spacing w:line="300" w:lineRule="auto"/>
      <w:jc w:val="both"/>
      <w:outlineLvl w:val="4"/>
    </w:pPr>
    <w:rPr>
      <w:rFonts w:ascii="Helvetica 55 Roman" w:hAnsi="Helvetica 55 Roman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7D7E38"/>
    <w:rPr>
      <w:rFonts w:ascii="Century Gothic" w:hAnsi="Century Gothic" w:cs="Arial"/>
      <w:b/>
      <w:caps/>
      <w:color w:val="0070C0"/>
      <w:lang w:eastAsia="en-GB"/>
    </w:rPr>
  </w:style>
  <w:style w:type="character" w:customStyle="1" w:styleId="Titre2Car">
    <w:name w:val="Titre 2 Car"/>
    <w:basedOn w:val="Policepardfaut"/>
    <w:link w:val="Titre2"/>
    <w:uiPriority w:val="99"/>
    <w:rsid w:val="007D7E38"/>
    <w:rPr>
      <w:rFonts w:ascii="Helvetica 55 Roman" w:hAnsi="Helvetica 55 Roman"/>
      <w:b/>
      <w:sz w:val="22"/>
      <w:szCs w:val="22"/>
      <w:lang w:eastAsia="en-GB"/>
    </w:rPr>
  </w:style>
  <w:style w:type="character" w:customStyle="1" w:styleId="Titre3Car">
    <w:name w:val="Titre 3 Car"/>
    <w:basedOn w:val="Policepardfaut"/>
    <w:link w:val="Titre3"/>
    <w:rsid w:val="007D7E38"/>
    <w:rPr>
      <w:rFonts w:ascii="Arial" w:hAnsi="Arial"/>
      <w:b/>
      <w:bCs/>
      <w:szCs w:val="24"/>
      <w:lang w:val="en-GB" w:eastAsia="en-GB"/>
    </w:rPr>
  </w:style>
  <w:style w:type="character" w:customStyle="1" w:styleId="Titre4Car">
    <w:name w:val="Titre 4 Car"/>
    <w:basedOn w:val="Policepardfaut"/>
    <w:link w:val="Titre4"/>
    <w:rsid w:val="007D7E38"/>
    <w:rPr>
      <w:rFonts w:ascii="Arial" w:hAnsi="Arial"/>
      <w:b/>
      <w:bCs/>
      <w:sz w:val="28"/>
      <w:szCs w:val="28"/>
      <w:lang w:eastAsia="en-GB"/>
    </w:rPr>
  </w:style>
  <w:style w:type="character" w:customStyle="1" w:styleId="Titre5Car">
    <w:name w:val="Titre 5 Car"/>
    <w:basedOn w:val="Policepardfaut"/>
    <w:link w:val="Titre5"/>
    <w:rsid w:val="007D7E38"/>
    <w:rPr>
      <w:rFonts w:ascii="Helvetica 55 Roman" w:hAnsi="Helvetica 55 Roman"/>
      <w:b/>
      <w:sz w:val="22"/>
      <w:szCs w:val="22"/>
      <w:lang w:val="en-GB" w:eastAsia="en-GB"/>
    </w:rPr>
  </w:style>
  <w:style w:type="paragraph" w:styleId="Titre">
    <w:name w:val="Title"/>
    <w:basedOn w:val="Normal"/>
    <w:next w:val="Normal"/>
    <w:link w:val="TitreCar"/>
    <w:uiPriority w:val="10"/>
    <w:qFormat/>
    <w:rsid w:val="007D7E3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7E38"/>
    <w:rPr>
      <w:rFonts w:ascii="Arial" w:eastAsiaTheme="majorEastAsia" w:hAnsi="Arial" w:cstheme="majorBidi"/>
      <w:spacing w:val="-10"/>
      <w:kern w:val="28"/>
      <w:sz w:val="56"/>
      <w:szCs w:val="56"/>
      <w:lang w:val="en-GB" w:eastAsia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7E38"/>
    <w:pPr>
      <w:numPr>
        <w:ilvl w:val="1"/>
      </w:numPr>
      <w:spacing w:after="160"/>
    </w:pPr>
    <w:rPr>
      <w:rFonts w:eastAsiaTheme="minorEastAsia" w:cstheme="minorBidi"/>
      <w:color w:val="607380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7D7E38"/>
    <w:rPr>
      <w:rFonts w:ascii="Arial" w:eastAsiaTheme="minorEastAsia" w:hAnsi="Arial" w:cstheme="minorBidi"/>
      <w:color w:val="607380" w:themeColor="text1" w:themeTint="A5"/>
      <w:spacing w:val="15"/>
      <w:sz w:val="22"/>
      <w:szCs w:val="22"/>
      <w:lang w:val="en-GB" w:eastAsia="en-GB"/>
    </w:rPr>
  </w:style>
  <w:style w:type="character" w:styleId="Accentuation">
    <w:name w:val="Emphasis"/>
    <w:basedOn w:val="Policepardfaut"/>
    <w:uiPriority w:val="20"/>
    <w:qFormat/>
    <w:rsid w:val="007D7E38"/>
    <w:rPr>
      <w:i/>
      <w:iCs/>
    </w:rPr>
  </w:style>
  <w:style w:type="paragraph" w:styleId="Sansinterligne">
    <w:name w:val="No Spacing"/>
    <w:link w:val="SansinterligneCar"/>
    <w:uiPriority w:val="1"/>
    <w:qFormat/>
    <w:rsid w:val="007D7E38"/>
    <w:rPr>
      <w:rFonts w:ascii="Arial" w:eastAsiaTheme="minorEastAsia" w:hAnsi="Arial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D7E38"/>
    <w:rPr>
      <w:rFonts w:ascii="Arial" w:eastAsiaTheme="minorEastAsia" w:hAnsi="Arial" w:cstheme="minorBid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7D7E38"/>
    <w:pPr>
      <w:spacing w:line="300" w:lineRule="auto"/>
      <w:ind w:left="720"/>
      <w:contextualSpacing/>
      <w:jc w:val="both"/>
    </w:pPr>
    <w:rPr>
      <w:rFonts w:ascii="Helvetica 55 Roman" w:eastAsiaTheme="minorHAnsi" w:hAnsi="Helvetica 55 Roman"/>
      <w:szCs w:val="20"/>
    </w:rPr>
  </w:style>
  <w:style w:type="character" w:styleId="Accentuationlgre">
    <w:name w:val="Subtle Emphasis"/>
    <w:basedOn w:val="Policepardfaut"/>
    <w:uiPriority w:val="19"/>
    <w:qFormat/>
    <w:rsid w:val="007D7E38"/>
    <w:rPr>
      <w:rFonts w:ascii="Arial" w:hAnsi="Arial"/>
      <w:b/>
      <w:i w:val="0"/>
      <w:iCs/>
      <w:color w:val="4D5C67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8364F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64F9"/>
    <w:rPr>
      <w:rFonts w:ascii="Arial" w:hAnsi="Arial"/>
      <w:szCs w:val="24"/>
      <w:lang w:val="en-GB" w:eastAsia="en-GB"/>
    </w:rPr>
  </w:style>
  <w:style w:type="paragraph" w:styleId="Pieddepage">
    <w:name w:val="footer"/>
    <w:basedOn w:val="Normal"/>
    <w:link w:val="PieddepageCar"/>
    <w:uiPriority w:val="99"/>
    <w:unhideWhenUsed/>
    <w:rsid w:val="008364F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64F9"/>
    <w:rPr>
      <w:rFonts w:ascii="Arial" w:hAnsi="Arial"/>
      <w:szCs w:val="24"/>
      <w:lang w:val="en-GB" w:eastAsia="en-GB"/>
    </w:rPr>
  </w:style>
  <w:style w:type="paragraph" w:customStyle="1" w:styleId="Paragraphestandard">
    <w:name w:val="[Paragraphe standard]"/>
    <w:basedOn w:val="Normal"/>
    <w:uiPriority w:val="99"/>
    <w:rsid w:val="008364F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fr-FR" w:eastAsia="en-US"/>
    </w:rPr>
  </w:style>
  <w:style w:type="table" w:styleId="Grilledutableau">
    <w:name w:val="Table Grid"/>
    <w:basedOn w:val="TableauNormal"/>
    <w:uiPriority w:val="39"/>
    <w:rsid w:val="00836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7680B"/>
    <w:rPr>
      <w:color w:val="00AEE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6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Motion Equity Partners">
      <a:dk1>
        <a:srgbClr val="1E2428"/>
      </a:dk1>
      <a:lt1>
        <a:srgbClr val="FFFFFF"/>
      </a:lt1>
      <a:dk2>
        <a:srgbClr val="001B3A"/>
      </a:dk2>
      <a:lt2>
        <a:srgbClr val="F6F6F5"/>
      </a:lt2>
      <a:accent1>
        <a:srgbClr val="A63620"/>
      </a:accent1>
      <a:accent2>
        <a:srgbClr val="00AEEF"/>
      </a:accent2>
      <a:accent3>
        <a:srgbClr val="66C7E6"/>
      </a:accent3>
      <a:accent4>
        <a:srgbClr val="CCECF7"/>
      </a:accent4>
      <a:accent5>
        <a:srgbClr val="BF7D6C"/>
      </a:accent5>
      <a:accent6>
        <a:srgbClr val="EDDAD5"/>
      </a:accent6>
      <a:hlink>
        <a:srgbClr val="00AEEF"/>
      </a:hlink>
      <a:folHlink>
        <a:srgbClr val="A7A29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2118</Words>
  <Characters>11654</Characters>
  <Application>Microsoft Office Word</Application>
  <DocSecurity>0</DocSecurity>
  <Lines>97</Lines>
  <Paragraphs>27</Paragraphs>
  <ScaleCrop>false</ScaleCrop>
  <Company/>
  <LinksUpToDate>false</LinksUpToDate>
  <CharactersWithSpaces>13745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Pierre Besse</cp:lastModifiedBy>
  <cp:revision>3</cp:revision>
  <dcterms:created xsi:type="dcterms:W3CDTF">2025-11-19T09:58:00Z</dcterms:created>
  <dcterms:modified xsi:type="dcterms:W3CDTF">2025-11-19T10:46:00Z</dcterms:modified>
</cp:coreProperties>
</file>